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color w:val="002060"/>
          <w:sz w:val="21"/>
          <w:szCs w:val="21"/>
        </w:rPr>
      </w:pPr>
      <w:r w:rsidDel="00000000" w:rsidR="00000000" w:rsidRPr="00000000">
        <w:rPr>
          <w:b w:val="1"/>
          <w:color w:val="002060"/>
          <w:sz w:val="21"/>
          <w:szCs w:val="21"/>
          <w:rtl w:val="0"/>
        </w:rPr>
        <w:t xml:space="preserve">Harrowbarrow Year 1 Reading Spine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This year challenge yourself to read these books. 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Where the Wild Things are by Maurice Sendak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The Tale of Peter Rabbit by Beatrix Potter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Madeline by Ludwig Bemelmans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The Polar Express by Chris Van Allsburg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Paddington by Michael Bond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The Tiny Seed by Eric Carle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The Owl Who Was Afraid of the Dark by Jill Tomlinson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How The Grinch Stole Christmas by Dr Seuss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Jack and the Flumflum Tree by Julia Donaldson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Winnie the Witch by Valerie Thomas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My Hair by Hannah Lee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